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005E" w:rsidRPr="00C7005E" w:rsidRDefault="00C7005E" w:rsidP="00C7005E">
      <w:pPr>
        <w:pStyle w:val="1"/>
        <w:rPr>
          <w:b/>
          <w:bCs/>
        </w:rPr>
      </w:pPr>
      <w:r w:rsidRPr="00C7005E">
        <w:rPr>
          <w:b/>
          <w:bCs/>
        </w:rPr>
        <w:t>Abstract</w:t>
      </w:r>
    </w:p>
    <w:p w:rsidR="00C7005E" w:rsidRPr="00C7005E" w:rsidRDefault="00C7005E" w:rsidP="00C7005E">
      <w:pPr>
        <w:pStyle w:val="1"/>
        <w:rPr>
          <w:lang w:val="en-US"/>
        </w:rPr>
      </w:pPr>
      <w:r w:rsidRPr="00C7005E">
        <w:rPr>
          <w:b/>
          <w:bCs/>
          <w:lang w:val="en-US"/>
        </w:rPr>
        <w:t>Aim</w:t>
      </w:r>
    </w:p>
    <w:p w:rsidR="00C7005E" w:rsidRPr="00C7005E" w:rsidRDefault="00C7005E" w:rsidP="00C7005E">
      <w:pPr>
        <w:rPr>
          <w:lang w:val="en-US"/>
        </w:rPr>
      </w:pPr>
      <w:r w:rsidRPr="00C7005E">
        <w:rPr>
          <w:lang w:val="en-US"/>
        </w:rPr>
        <w:t>The aim was to study the effect of severe chronic aortic regurgitation (AR) on right ventricular (RV) diastolic func-tion by using transthoracic echocardiography.</w:t>
      </w:r>
    </w:p>
    <w:p w:rsidR="00C7005E" w:rsidRPr="00C7005E" w:rsidRDefault="00C7005E" w:rsidP="00C7005E">
      <w:pPr>
        <w:pStyle w:val="1"/>
        <w:rPr>
          <w:b/>
          <w:bCs/>
          <w:lang w:val="en-US"/>
        </w:rPr>
      </w:pPr>
      <w:r w:rsidRPr="00C7005E">
        <w:rPr>
          <w:b/>
          <w:bCs/>
          <w:lang w:val="en-US"/>
        </w:rPr>
        <w:t>Materials and methods</w:t>
      </w:r>
    </w:p>
    <w:p w:rsidR="00C7005E" w:rsidRDefault="00C7005E" w:rsidP="00C7005E">
      <w:r w:rsidRPr="00C7005E">
        <w:rPr>
          <w:lang w:val="en-US"/>
        </w:rPr>
        <w:t xml:space="preserve">This study examined 57 patients with AR. </w:t>
      </w:r>
      <w:r w:rsidRPr="00C7005E">
        <w:t xml:space="preserve">All patients who had lesions of other heart valves, coronary arteries, left ventricular ejection fraction (LVEF) &lt;55%, and an increase in pulmonary artery pressure &gt;25 mmHg were exclud-ed from the analysis of the results. The remaining 25 (44%) patients were enrolled in a study group. All patients were male with a mean age 35±5 years. Patients had New York Heart Association (NYHA) class II-III chronic heart failure. The control group consisted of 10 healthy volunteers (mean age 34±6 years). All patients underwent echo-cardiography. RV diastolic function was evaluated during sinus rhythm using PW-Doppler echocardiography. The parameters of transtricuspid flow were calculated, namely early filling velocity (E) of the RV; right atrial systolic velocity (A); their ratio (E/A); acceleration, deceleration, and duration times of E; duration time of A, velocity–time integrals of E and A (VTI E and VTI A); RV isovolumic relaxation time (IVRT). Statistical data processing was per-formed using STATISTICA 6.0 software. The value of </w:t>
      </w:r>
      <w:proofErr w:type="gramStart"/>
      <w:r w:rsidRPr="00C7005E">
        <w:t>P&lt;</w:t>
      </w:r>
      <w:proofErr w:type="gramEnd"/>
      <w:r w:rsidRPr="00C7005E">
        <w:t>0.05 was considered statistically significant.</w:t>
      </w:r>
    </w:p>
    <w:p w:rsidR="00C7005E" w:rsidRPr="00C7005E" w:rsidRDefault="00C7005E" w:rsidP="00C7005E">
      <w:pPr>
        <w:pStyle w:val="1"/>
        <w:rPr>
          <w:b/>
          <w:bCs/>
          <w:lang w:val="en-US"/>
        </w:rPr>
      </w:pPr>
      <w:r w:rsidRPr="00C7005E">
        <w:rPr>
          <w:b/>
          <w:bCs/>
          <w:lang w:val="en-US"/>
        </w:rPr>
        <w:t>Results</w:t>
      </w:r>
    </w:p>
    <w:p w:rsidR="00C7005E" w:rsidRDefault="00C7005E" w:rsidP="00C7005E">
      <w:r w:rsidRPr="00C7005E">
        <w:rPr>
          <w:lang w:val="en-US"/>
        </w:rPr>
        <w:t xml:space="preserve">There was no statistically significant difference identified between patients and controls with regard to age, height, body weight and heart rate. </w:t>
      </w:r>
      <w:r w:rsidRPr="00C7005E">
        <w:t>Systolic and diastolic blood pressure (BP), left ventricular mass index (LVMI), left ven-tricular end-diastolic (LVED) dimension, left ventricular end-diastolic volume (LVEDV), left ventricular end-systol-ic (LVES) dimension, left ventricular end-systolic volume (LVESV), and left atrial size were significantly greater in patients with AR than in controls. There was no significant difference in patients with AR and controls regarding echocardiographic parameters characterising the right chambers of the heart: RV fractional area change, RV anterior wall thickness and the area of the right atrium. Significant difference between controls and patients with AR was observed in the right ventricular end-diastolic (RVED) dimension. Transtricuspid flow parameters in patients with AR, namely E/A of RV, RV IVRT, and VTI, were significantly different from those in controls. A high correlation was observed between the degree of AR and the occurrence of RV diastolic dysfunction (r=0.71).</w:t>
      </w:r>
    </w:p>
    <w:p w:rsidR="00C7005E" w:rsidRPr="00C7005E" w:rsidRDefault="00C7005E" w:rsidP="00C7005E">
      <w:pPr>
        <w:pStyle w:val="1"/>
        <w:rPr>
          <w:b/>
          <w:bCs/>
          <w:lang w:val="en-US"/>
        </w:rPr>
      </w:pPr>
      <w:r w:rsidRPr="00C7005E">
        <w:rPr>
          <w:b/>
          <w:bCs/>
          <w:lang w:val="en-US"/>
        </w:rPr>
        <w:t>Conclusion</w:t>
      </w:r>
    </w:p>
    <w:p w:rsidR="00C7005E" w:rsidRDefault="00C7005E" w:rsidP="00C7005E">
      <w:r w:rsidRPr="00C7005E">
        <w:rPr>
          <w:lang w:val="en-US"/>
        </w:rPr>
        <w:t xml:space="preserve">LV volume overload violates interventricular interaction and negatively affects RV diastolic function. </w:t>
      </w:r>
      <w:r w:rsidRPr="00C7005E">
        <w:t>It is neces-sary to analyse in detail transtricuspid flow in patients with severe chronic AR to assess the condition of their RV.</w:t>
      </w:r>
    </w:p>
    <w:p w:rsidR="00C7005E" w:rsidRPr="00C7005E" w:rsidRDefault="00C7005E" w:rsidP="00C7005E">
      <w:pPr>
        <w:pStyle w:val="1"/>
        <w:rPr>
          <w:b/>
          <w:bCs/>
          <w:lang w:val="en-US"/>
        </w:rPr>
      </w:pPr>
      <w:r w:rsidRPr="00C7005E">
        <w:rPr>
          <w:b/>
          <w:bCs/>
          <w:lang w:val="en-US"/>
        </w:rPr>
        <w:t>Keywords</w:t>
      </w:r>
    </w:p>
    <w:p w:rsidR="00C7005E" w:rsidRPr="00C7005E" w:rsidRDefault="00C7005E" w:rsidP="00C7005E">
      <w:pPr>
        <w:rPr>
          <w:lang w:val="en-US"/>
        </w:rPr>
      </w:pPr>
      <w:r w:rsidRPr="00C7005E">
        <w:rPr>
          <w:lang w:val="en-US"/>
        </w:rPr>
        <w:t>Right ventricle, aortic regurgitation, interventricular interaction, structure of the myocardium of the heart, right ventricular diastolic function</w:t>
      </w:r>
    </w:p>
    <w:p w:rsidR="00BC4C3C" w:rsidRPr="00C7005E" w:rsidRDefault="00BC4C3C" w:rsidP="00C7005E">
      <w:pPr>
        <w:rPr>
          <w:lang w:val="en-US"/>
        </w:rPr>
      </w:pPr>
    </w:p>
    <w:sectPr w:rsidR="00BC4C3C" w:rsidRPr="00C700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111"/>
    <w:rsid w:val="00123FFD"/>
    <w:rsid w:val="001250E1"/>
    <w:rsid w:val="00A74111"/>
    <w:rsid w:val="00B04363"/>
    <w:rsid w:val="00BC4C3C"/>
    <w:rsid w:val="00C700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62055"/>
  <w15:chartTrackingRefBased/>
  <w15:docId w15:val="{4573B216-D912-4D1F-9E3F-D8DA3699D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FFD"/>
    <w:rPr>
      <w:rFonts w:eastAsiaTheme="minorEastAsia"/>
      <w:lang w:eastAsia="ru-RU"/>
    </w:rPr>
  </w:style>
  <w:style w:type="paragraph" w:styleId="1">
    <w:name w:val="heading 1"/>
    <w:basedOn w:val="a"/>
    <w:next w:val="a"/>
    <w:link w:val="10"/>
    <w:uiPriority w:val="9"/>
    <w:qFormat/>
    <w:rsid w:val="00C7005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005E"/>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428</Words>
  <Characters>2441</Characters>
  <Application>Microsoft Office Word</Application>
  <DocSecurity>0</DocSecurity>
  <Lines>20</Lines>
  <Paragraphs>5</Paragraphs>
  <ScaleCrop>false</ScaleCrop>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2020-04-10T17:33:00Z</dcterms:created>
  <dcterms:modified xsi:type="dcterms:W3CDTF">2020-04-10T17:33:00Z</dcterms:modified>
</cp:coreProperties>
</file>